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56" w:beforeLines="50" w:after="156" w:afterLines="50" w:line="360" w:lineRule="auto"/>
        <w:jc w:val="left"/>
        <w:rPr>
          <w:rFonts w:ascii="黑体" w:hAnsi="黑体" w:eastAsia="黑体"/>
          <w:sz w:val="32"/>
          <w:szCs w:val="32"/>
        </w:rPr>
      </w:pPr>
      <w:r>
        <w:rPr>
          <w:rFonts w:hint="eastAsia" w:ascii="黑体" w:hAnsi="黑体" w:eastAsia="黑体"/>
          <w:sz w:val="32"/>
          <w:szCs w:val="32"/>
        </w:rPr>
        <w:t>附件</w:t>
      </w:r>
      <w:r>
        <w:rPr>
          <w:rFonts w:hint="eastAsia" w:ascii="黑体" w:hAnsi="黑体" w:eastAsia="黑体"/>
          <w:sz w:val="32"/>
          <w:szCs w:val="32"/>
          <w:lang w:eastAsia="zh-CN"/>
        </w:rPr>
        <w:t>：</w:t>
      </w:r>
    </w:p>
    <w:p>
      <w:pPr>
        <w:adjustRightInd w:val="0"/>
        <w:snapToGrid w:val="0"/>
        <w:spacing w:before="156" w:beforeLines="50" w:after="156" w:afterLines="50" w:line="360" w:lineRule="auto"/>
        <w:jc w:val="center"/>
        <w:rPr>
          <w:rFonts w:ascii="黑体" w:hAnsi="黑体" w:eastAsia="黑体"/>
          <w:sz w:val="36"/>
          <w:szCs w:val="36"/>
        </w:rPr>
      </w:pPr>
      <w:r>
        <w:rPr>
          <w:rFonts w:hint="eastAsia" w:ascii="黑体" w:hAnsi="黑体" w:eastAsia="黑体"/>
          <w:sz w:val="36"/>
          <w:szCs w:val="36"/>
        </w:rPr>
        <w:t>国家重点研发计划“</w:t>
      </w:r>
      <w:r>
        <w:rPr>
          <w:rFonts w:hint="eastAsia" w:ascii="黑体" w:hAnsi="黑体" w:eastAsia="黑体"/>
          <w:sz w:val="36"/>
          <w:szCs w:val="36"/>
          <w:lang w:eastAsia="zh-CN"/>
        </w:rPr>
        <w:t>固废资源化</w:t>
      </w:r>
      <w:r>
        <w:rPr>
          <w:rFonts w:hint="eastAsia" w:ascii="黑体" w:hAnsi="黑体" w:eastAsia="黑体"/>
          <w:sz w:val="36"/>
          <w:szCs w:val="36"/>
        </w:rPr>
        <w:t>”重点专项202</w:t>
      </w:r>
      <w:r>
        <w:rPr>
          <w:rFonts w:hint="eastAsia" w:ascii="黑体" w:hAnsi="黑体" w:eastAsia="黑体"/>
          <w:sz w:val="36"/>
          <w:szCs w:val="36"/>
          <w:lang w:val="en-US" w:eastAsia="zh-CN"/>
        </w:rPr>
        <w:t>1</w:t>
      </w:r>
      <w:r>
        <w:rPr>
          <w:rFonts w:hint="eastAsia" w:ascii="黑体" w:hAnsi="黑体" w:eastAsia="黑体"/>
          <w:sz w:val="36"/>
          <w:szCs w:val="36"/>
        </w:rPr>
        <w:t>年度定向项目申报指南</w:t>
      </w:r>
    </w:p>
    <w:p>
      <w:pPr>
        <w:autoSpaceDE w:val="0"/>
        <w:autoSpaceDN w:val="0"/>
        <w:adjustRightInd w:val="0"/>
        <w:snapToGrid w:val="0"/>
        <w:spacing w:line="360" w:lineRule="auto"/>
        <w:jc w:val="center"/>
        <w:rPr>
          <w:rFonts w:ascii="Times New Roman" w:hAnsi="Times New Roman" w:eastAsia="仿宋_GB2312"/>
          <w:sz w:val="32"/>
          <w:szCs w:val="32"/>
        </w:rPr>
      </w:pPr>
      <w:r>
        <w:rPr>
          <w:rFonts w:hint="eastAsia" w:ascii="Times New Roman" w:hAnsi="Times New Roman" w:eastAsia="仿宋_GB2312"/>
          <w:sz w:val="32"/>
          <w:szCs w:val="32"/>
        </w:rPr>
        <w:t>（征求意见稿）</w:t>
      </w:r>
    </w:p>
    <w:p>
      <w:pPr>
        <w:autoSpaceDE w:val="0"/>
        <w:autoSpaceDN w:val="0"/>
        <w:adjustRightInd w:val="0"/>
        <w:snapToGrid w:val="0"/>
        <w:spacing w:line="360" w:lineRule="auto"/>
        <w:ind w:firstLine="640" w:firstLineChars="200"/>
        <w:jc w:val="center"/>
        <w:rPr>
          <w:rFonts w:ascii="Times New Roman" w:hAnsi="Times New Roman" w:eastAsia="仿宋_GB2312"/>
          <w:sz w:val="32"/>
          <w:szCs w:val="32"/>
        </w:rPr>
      </w:pPr>
    </w:p>
    <w:p>
      <w:pPr>
        <w:topLinePunct/>
        <w:adjustRightInd w:val="0"/>
        <w:snapToGrid w:val="0"/>
        <w:spacing w:line="360" w:lineRule="auto"/>
        <w:ind w:firstLine="616"/>
        <w:textAlignment w:val="center"/>
        <w:rPr>
          <w:rFonts w:hint="eastAsia" w:ascii="仿宋" w:hAnsi="仿宋" w:eastAsia="仿宋" w:cs="仿宋"/>
          <w:sz w:val="32"/>
          <w:szCs w:val="32"/>
        </w:rPr>
      </w:pPr>
      <w:r>
        <w:rPr>
          <w:rFonts w:ascii="Times New Roman" w:hAnsi="Times New Roman" w:eastAsia="仿宋_GB2312"/>
          <w:b/>
          <w:bCs/>
          <w:sz w:val="32"/>
          <w:szCs w:val="32"/>
        </w:rPr>
        <w:t>本专项的总体目标是</w:t>
      </w:r>
      <w:r>
        <w:rPr>
          <w:rFonts w:ascii="Times New Roman" w:hAnsi="Times New Roman" w:eastAsia="仿宋_GB2312"/>
          <w:sz w:val="32"/>
          <w:szCs w:val="32"/>
        </w:rPr>
        <w:t>：</w:t>
      </w:r>
      <w:r>
        <w:rPr>
          <w:rFonts w:hint="eastAsia" w:ascii="仿宋" w:hAnsi="仿宋" w:eastAsia="仿宋" w:cs="仿宋"/>
          <w:sz w:val="32"/>
          <w:szCs w:val="32"/>
        </w:rPr>
        <w:t>面向生态文明建设与保障资源安全供给的国家重大战略需求，以“减量化、资源化、无害化”为核心原则，围绕源头减量—智能分类—高效转化—清洁利用—精深加工—精准管控全技术链，研究适应我国固废特征的循环利用和污染协同控制理论体系，攻克整装成套的固废资源化利用技术，形成固废问题系统性综合解决方案与推广模式，建立系列集成示范基地，全面引领提升我国固废资源化科技支撑与保障能力，促进壮大资源循环利用产业规模，为大幅度提高我国资源利用效率，支撑生态文明建设提供科技保障。</w:t>
      </w:r>
    </w:p>
    <w:p>
      <w:pPr>
        <w:topLinePunct/>
        <w:adjustRightInd w:val="0"/>
        <w:snapToGrid w:val="0"/>
        <w:spacing w:line="360" w:lineRule="auto"/>
        <w:ind w:firstLine="616"/>
        <w:textAlignment w:val="center"/>
        <w:rPr>
          <w:rFonts w:hint="eastAsia" w:ascii="仿宋" w:hAnsi="仿宋" w:eastAsia="仿宋" w:cs="仿宋"/>
          <w:sz w:val="32"/>
          <w:szCs w:val="32"/>
        </w:rPr>
      </w:pPr>
      <w:r>
        <w:rPr>
          <w:rFonts w:hint="eastAsia" w:ascii="仿宋" w:hAnsi="仿宋" w:eastAsia="仿宋" w:cs="仿宋"/>
          <w:sz w:val="32"/>
          <w:szCs w:val="32"/>
        </w:rPr>
        <w:t>本专项2021年拟部署1个研究方向，项目执行期</w:t>
      </w:r>
      <w:r>
        <w:rPr>
          <w:rFonts w:hint="eastAsia" w:ascii="仿宋" w:hAnsi="仿宋" w:eastAsia="仿宋" w:cs="仿宋"/>
          <w:sz w:val="32"/>
          <w:szCs w:val="32"/>
          <w:highlight w:val="none"/>
        </w:rPr>
        <w:t>3</w:t>
      </w:r>
      <w:r>
        <w:rPr>
          <w:rFonts w:hint="eastAsia" w:ascii="仿宋" w:hAnsi="仿宋" w:eastAsia="仿宋" w:cs="仿宋"/>
          <w:sz w:val="32"/>
          <w:szCs w:val="32"/>
        </w:rPr>
        <w:t>年。重点针对京津冀水源涵养功能区固废协同利用部署相关研究任务，重点开展多源固废特征识别、生态水环境风险及控制策略研究，研发难处理采选冶固废规模化、生态化、特征化、智能化综合利用关键技术，系统解决典型固废危害水资源、环境风险突出的瓶颈技术问题，支撑京津冀水源涵养功能区可持续发展。</w:t>
      </w:r>
      <w:r>
        <w:rPr>
          <w:rFonts w:hint="eastAsia" w:ascii="Times New Roman" w:hAnsi="Times New Roman" w:eastAsia="仿宋_GB2312"/>
          <w:spacing w:val="-5"/>
          <w:sz w:val="32"/>
          <w:szCs w:val="32"/>
        </w:rPr>
        <w:t>根据指南方向研究内容体量，建议支持经费总计</w:t>
      </w:r>
      <w:r>
        <w:rPr>
          <w:rFonts w:ascii="Times New Roman" w:hAnsi="Times New Roman" w:eastAsia="仿宋_GB2312"/>
          <w:spacing w:val="-5"/>
          <w:sz w:val="32"/>
          <w:szCs w:val="32"/>
        </w:rPr>
        <w:t>0.3</w:t>
      </w:r>
      <w:r>
        <w:rPr>
          <w:rFonts w:hint="eastAsia" w:ascii="Times New Roman" w:hAnsi="Times New Roman" w:eastAsia="仿宋_GB2312"/>
          <w:spacing w:val="-5"/>
          <w:sz w:val="32"/>
          <w:szCs w:val="32"/>
        </w:rPr>
        <w:t>亿元。</w:t>
      </w:r>
    </w:p>
    <w:p>
      <w:pPr>
        <w:topLinePunct/>
        <w:adjustRightInd w:val="0"/>
        <w:snapToGrid w:val="0"/>
        <w:spacing w:line="360" w:lineRule="auto"/>
        <w:ind w:firstLine="739" w:firstLineChars="230"/>
        <w:textAlignment w:val="center"/>
        <w:outlineLvl w:val="0"/>
        <w:rPr>
          <w:rFonts w:hint="eastAsia" w:ascii="仿宋" w:hAnsi="仿宋" w:eastAsia="仿宋" w:cs="仿宋"/>
          <w:b/>
          <w:sz w:val="32"/>
          <w:szCs w:val="32"/>
        </w:rPr>
      </w:pPr>
      <w:r>
        <w:rPr>
          <w:rFonts w:hint="eastAsia" w:ascii="仿宋" w:hAnsi="仿宋" w:eastAsia="仿宋" w:cs="仿宋"/>
          <w:b/>
          <w:sz w:val="32"/>
          <w:szCs w:val="32"/>
        </w:rPr>
        <w:t>1.系统性解决方案研发及集成示范（应用示范类）</w:t>
      </w:r>
    </w:p>
    <w:p>
      <w:pPr>
        <w:topLinePunct/>
        <w:adjustRightInd w:val="0"/>
        <w:snapToGrid w:val="0"/>
        <w:spacing w:line="360" w:lineRule="auto"/>
        <w:ind w:firstLine="739" w:firstLineChars="230"/>
        <w:textAlignment w:val="center"/>
        <w:outlineLvl w:val="1"/>
        <w:rPr>
          <w:rFonts w:hint="eastAsia" w:ascii="仿宋" w:hAnsi="仿宋" w:eastAsia="仿宋" w:cs="仿宋"/>
          <w:b/>
          <w:sz w:val="32"/>
          <w:szCs w:val="32"/>
        </w:rPr>
      </w:pPr>
      <w:r>
        <w:rPr>
          <w:rFonts w:hint="eastAsia" w:ascii="仿宋" w:hAnsi="仿宋" w:eastAsia="仿宋" w:cs="仿宋"/>
          <w:b/>
          <w:sz w:val="32"/>
          <w:szCs w:val="32"/>
        </w:rPr>
        <w:t xml:space="preserve">1.1京津冀水源涵养功能区典型固废协同利用集成示范 </w:t>
      </w:r>
    </w:p>
    <w:p>
      <w:pPr>
        <w:tabs>
          <w:tab w:val="left" w:pos="230"/>
        </w:tabs>
        <w:topLinePunct/>
        <w:adjustRightInd w:val="0"/>
        <w:snapToGrid w:val="0"/>
        <w:spacing w:line="360" w:lineRule="auto"/>
        <w:ind w:firstLine="739" w:firstLineChars="230"/>
        <w:textAlignment w:val="center"/>
        <w:rPr>
          <w:rFonts w:hint="eastAsia" w:ascii="仿宋" w:hAnsi="仿宋" w:eastAsia="仿宋" w:cs="仿宋"/>
          <w:sz w:val="32"/>
          <w:szCs w:val="32"/>
        </w:rPr>
      </w:pPr>
      <w:r>
        <w:rPr>
          <w:rFonts w:hint="eastAsia" w:ascii="仿宋" w:hAnsi="仿宋" w:eastAsia="仿宋" w:cs="仿宋"/>
          <w:b/>
          <w:sz w:val="32"/>
          <w:szCs w:val="32"/>
        </w:rPr>
        <w:t>研究内容：</w:t>
      </w:r>
      <w:bookmarkStart w:id="0" w:name="_Hlk52977135"/>
      <w:r>
        <w:rPr>
          <w:rFonts w:hint="eastAsia" w:ascii="仿宋" w:hAnsi="仿宋" w:eastAsia="仿宋" w:cs="仿宋"/>
          <w:sz w:val="32"/>
          <w:szCs w:val="32"/>
        </w:rPr>
        <w:t>针对“京津冀水源涵养功能区”典型区域矿产、冶金支柱产业固废产生量大、高质量水源保障要求高等问题，研究典型矿产资源采选冶过程固废产排特征、资源属性、生态水环境风险及控制策略，研究</w:t>
      </w:r>
      <w:bookmarkStart w:id="1" w:name="_Hlk52963823"/>
      <w:r>
        <w:rPr>
          <w:rFonts w:hint="eastAsia" w:ascii="仿宋" w:hAnsi="仿宋" w:eastAsia="仿宋" w:cs="仿宋"/>
          <w:sz w:val="32"/>
          <w:szCs w:val="32"/>
        </w:rPr>
        <w:t>巨量采矿废石-选矿尾矿高效识别、稳质化利用技术</w:t>
      </w:r>
      <w:bookmarkEnd w:id="1"/>
      <w:r>
        <w:rPr>
          <w:rFonts w:hint="eastAsia" w:ascii="仿宋" w:hAnsi="仿宋" w:eastAsia="仿宋" w:cs="仿宋"/>
          <w:sz w:val="32"/>
          <w:szCs w:val="32"/>
        </w:rPr>
        <w:t>，研究多源难处理微细粒尾矿细泥精细分级与协同利用制备功能新材料技术，研究钒基战略材料产业重金属废渣中毒害元素全湿法高效提取分离-尾渣无害化利用技术。依托国家可持续发展议程创新示范区开展集成技术工程示范，构建水环境高风险工业固废协同利用系统性解决方案及商业化运行模式，开展推广应用。</w:t>
      </w:r>
    </w:p>
    <w:bookmarkEnd w:id="0"/>
    <w:p>
      <w:pPr>
        <w:tabs>
          <w:tab w:val="left" w:pos="230"/>
        </w:tabs>
        <w:topLinePunct/>
        <w:adjustRightInd w:val="0"/>
        <w:snapToGrid w:val="0"/>
        <w:spacing w:line="360" w:lineRule="auto"/>
        <w:ind w:firstLine="739" w:firstLineChars="230"/>
        <w:textAlignment w:val="center"/>
        <w:rPr>
          <w:rFonts w:hint="eastAsia" w:ascii="仿宋" w:hAnsi="仿宋" w:eastAsia="仿宋" w:cs="仿宋"/>
          <w:sz w:val="32"/>
          <w:szCs w:val="32"/>
        </w:rPr>
      </w:pPr>
      <w:r>
        <w:rPr>
          <w:rFonts w:hint="eastAsia" w:ascii="仿宋" w:hAnsi="仿宋" w:eastAsia="仿宋" w:cs="仿宋"/>
          <w:b/>
          <w:sz w:val="32"/>
          <w:szCs w:val="32"/>
        </w:rPr>
        <w:t>考核指标：</w:t>
      </w:r>
      <w:r>
        <w:rPr>
          <w:rFonts w:hint="eastAsia" w:ascii="仿宋" w:hAnsi="仿宋" w:eastAsia="仿宋" w:cs="仿宋"/>
          <w:sz w:val="32"/>
          <w:szCs w:val="32"/>
        </w:rPr>
        <w:t>形成适应区域特征的难处理采选冶固废规模化、生态化、特征化综合利用成套技术及应用示范，系统解决典型固废危害水资源、环境风险突出的瓶颈问题，支撑“国家可持续发展议程创新示范区”及“京津冀水源涵养功能区”绿色发展。其中：建立典型增量/存量固废产排空间分布-资源属性-生态水环境效应数据库，覆盖固废种类不低于4种，提出1套典型固废污染物水环境风险系统控制策略；形成多源特色磁铁矿采矿废石-选矿尾矿制备固废基砂石骨料技术1-2项，废石加工料和尾矿细度模数识别准确度大于90%，砂石骨料中尾矿配比不低于70%，产品质量符合国标要求（GB/T 14684-2011），完成千万吨级工程示范；形成多源难处理尾矿细泥精细分级与优化利用系列技术，涵盖尾矿种类不低于3类，脱泥率大于95%，精细分级料中粒度混级率小于5%，开发新产品2-3种，水处理材料重金属去除率大于95%，烧结型仿石材料细泥添加量大于90%，特种砂浆尾矿细砂含量大于35%，</w:t>
      </w:r>
      <w:bookmarkStart w:id="2" w:name="_Hlk52977479"/>
      <w:r>
        <w:rPr>
          <w:rFonts w:hint="eastAsia" w:ascii="仿宋" w:hAnsi="仿宋" w:eastAsia="仿宋" w:cs="仿宋"/>
          <w:sz w:val="32"/>
          <w:szCs w:val="32"/>
        </w:rPr>
        <w:t>完成5万平方米级特种砂浆复合材料工程示范；形成毒害重金属废渣钒铬全湿法高效提取分离-尾渣协同消纳技术，毒害元素钒铬减量率均大于95%，V</w:t>
      </w:r>
      <w:r>
        <w:rPr>
          <w:rFonts w:hint="eastAsia" w:ascii="仿宋" w:hAnsi="仿宋" w:eastAsia="仿宋" w:cs="仿宋"/>
          <w:sz w:val="32"/>
          <w:szCs w:val="32"/>
          <w:vertAlign w:val="subscript"/>
        </w:rPr>
        <w:t>2</w:t>
      </w:r>
      <w:r>
        <w:rPr>
          <w:rFonts w:hint="eastAsia" w:ascii="仿宋" w:hAnsi="仿宋" w:eastAsia="仿宋" w:cs="仿宋"/>
          <w:sz w:val="32"/>
          <w:szCs w:val="32"/>
        </w:rPr>
        <w:t>O</w:t>
      </w:r>
      <w:r>
        <w:rPr>
          <w:rFonts w:hint="eastAsia" w:ascii="仿宋" w:hAnsi="仿宋" w:eastAsia="仿宋" w:cs="仿宋"/>
          <w:sz w:val="32"/>
          <w:szCs w:val="32"/>
          <w:vertAlign w:val="subscript"/>
        </w:rPr>
        <w:t>5</w:t>
      </w:r>
      <w:r>
        <w:rPr>
          <w:rFonts w:hint="eastAsia" w:ascii="仿宋" w:hAnsi="仿宋" w:eastAsia="仿宋" w:cs="仿宋"/>
          <w:sz w:val="32"/>
          <w:szCs w:val="32"/>
        </w:rPr>
        <w:t>产品纯度不低于98.5%，实现尾渣全量无害化利用，完成万吨级工程示范；</w:t>
      </w:r>
      <w:bookmarkEnd w:id="2"/>
      <w:r>
        <w:rPr>
          <w:rFonts w:hint="eastAsia" w:ascii="仿宋" w:hAnsi="仿宋" w:eastAsia="仿宋" w:cs="仿宋"/>
          <w:sz w:val="32"/>
          <w:szCs w:val="32"/>
        </w:rPr>
        <w:t>依托国家可持续发展议程创新示范区，建成工程示范3-4个，实现经济稳定运行，带动年消纳多源工业固废总量大于1000万吨。形成覆盖研究内容的技术专利与标准体系（申请国家技术发明专利10件以上，形成国家/行业/团体标准及规范征求意见稿3项以上）；提出水环境高风险工业固废协同利用系统性解决方案与商业化运行模式，在京津冀水源涵养功能区实现推广应用。</w:t>
      </w:r>
    </w:p>
    <w:p>
      <w:pPr>
        <w:autoSpaceDE w:val="0"/>
        <w:autoSpaceDN w:val="0"/>
        <w:adjustRightInd w:val="0"/>
        <w:snapToGrid w:val="0"/>
        <w:spacing w:line="360" w:lineRule="auto"/>
        <w:ind w:firstLine="643" w:firstLineChars="200"/>
        <w:rPr>
          <w:rFonts w:ascii="Times New Roman" w:hAnsi="Times New Roman" w:eastAsia="仿宋_GB2312"/>
          <w:color w:val="FF0000"/>
          <w:sz w:val="32"/>
          <w:szCs w:val="32"/>
        </w:rPr>
      </w:pPr>
      <w:r>
        <w:rPr>
          <w:rFonts w:hint="eastAsia" w:ascii="仿宋" w:hAnsi="仿宋" w:eastAsia="仿宋" w:cs="仿宋"/>
          <w:b/>
          <w:sz w:val="32"/>
          <w:szCs w:val="32"/>
        </w:rPr>
        <w:t>有关说明</w:t>
      </w:r>
      <w:r>
        <w:rPr>
          <w:rFonts w:hint="eastAsia" w:ascii="仿宋" w:hAnsi="仿宋" w:eastAsia="仿宋" w:cs="仿宋"/>
          <w:bCs/>
          <w:sz w:val="32"/>
          <w:szCs w:val="32"/>
        </w:rPr>
        <w:t>：由河北省科技厅组织国内在该领域的优势高校、科研院所和企业申报，依托承德市国家可持续发展创新示范区开展示范工程建设，充分结合当地党委政府环境污染攻坚战有关部署，承诺配套经费和相关保障措施，出具书面支持文件；在项目实施过程中，加强相关配套条件和措施、政策的组织协调，努力把该示范项目打造为解决国内同类问题的样板。</w:t>
      </w:r>
      <w:bookmarkStart w:id="3" w:name="_Hlk23789671"/>
    </w:p>
    <w:p>
      <w:pPr>
        <w:autoSpaceDE w:val="0"/>
        <w:autoSpaceDN w:val="0"/>
        <w:adjustRightInd w:val="0"/>
        <w:snapToGrid w:val="0"/>
        <w:spacing w:line="360" w:lineRule="auto"/>
        <w:jc w:val="center"/>
        <w:rPr>
          <w:rFonts w:ascii="Times New Roman" w:hAnsi="Times New Roman" w:eastAsia="仿宋_GB2312"/>
          <w:b/>
          <w:sz w:val="32"/>
          <w:szCs w:val="32"/>
        </w:rPr>
      </w:pPr>
      <w:bookmarkStart w:id="4" w:name="_Toc446308756"/>
    </w:p>
    <w:p>
      <w:pPr>
        <w:autoSpaceDE w:val="0"/>
        <w:autoSpaceDN w:val="0"/>
        <w:adjustRightInd w:val="0"/>
        <w:snapToGrid w:val="0"/>
        <w:spacing w:line="360" w:lineRule="auto"/>
        <w:jc w:val="center"/>
        <w:rPr>
          <w:rFonts w:ascii="Times New Roman" w:hAnsi="Times New Roman" w:eastAsia="仿宋_GB2312"/>
          <w:b/>
          <w:sz w:val="32"/>
          <w:szCs w:val="32"/>
        </w:rPr>
      </w:pPr>
      <w:bookmarkStart w:id="5" w:name="_GoBack"/>
      <w:bookmarkEnd w:id="5"/>
    </w:p>
    <w:p>
      <w:pPr>
        <w:autoSpaceDE w:val="0"/>
        <w:autoSpaceDN w:val="0"/>
        <w:adjustRightInd w:val="0"/>
        <w:snapToGrid w:val="0"/>
        <w:spacing w:line="360" w:lineRule="auto"/>
        <w:jc w:val="center"/>
        <w:rPr>
          <w:rFonts w:ascii="Times New Roman" w:hAnsi="Times New Roman" w:eastAsia="仿宋_GB2312"/>
          <w:b/>
          <w:sz w:val="32"/>
          <w:szCs w:val="32"/>
        </w:rPr>
      </w:pPr>
    </w:p>
    <w:p>
      <w:pPr>
        <w:autoSpaceDE w:val="0"/>
        <w:autoSpaceDN w:val="0"/>
        <w:adjustRightInd w:val="0"/>
        <w:snapToGrid w:val="0"/>
        <w:spacing w:line="360" w:lineRule="auto"/>
        <w:jc w:val="center"/>
        <w:rPr>
          <w:rFonts w:ascii="Times New Roman" w:hAnsi="Times New Roman" w:eastAsia="仿宋_GB2312"/>
          <w:b/>
          <w:sz w:val="32"/>
          <w:szCs w:val="32"/>
        </w:rPr>
      </w:pPr>
    </w:p>
    <w:p>
      <w:pPr>
        <w:autoSpaceDE w:val="0"/>
        <w:autoSpaceDN w:val="0"/>
        <w:adjustRightInd w:val="0"/>
        <w:snapToGrid w:val="0"/>
        <w:spacing w:line="360" w:lineRule="auto"/>
        <w:jc w:val="center"/>
        <w:rPr>
          <w:rFonts w:ascii="Times New Roman" w:hAnsi="Times New Roman" w:eastAsia="仿宋_GB2312"/>
          <w:b/>
          <w:sz w:val="32"/>
          <w:szCs w:val="32"/>
        </w:rPr>
      </w:pPr>
    </w:p>
    <w:p>
      <w:pPr>
        <w:autoSpaceDE w:val="0"/>
        <w:autoSpaceDN w:val="0"/>
        <w:adjustRightInd w:val="0"/>
        <w:snapToGrid w:val="0"/>
        <w:spacing w:line="360" w:lineRule="auto"/>
        <w:jc w:val="center"/>
        <w:rPr>
          <w:rFonts w:ascii="Times New Roman" w:hAnsi="Times New Roman" w:eastAsia="仿宋_GB2312"/>
          <w:b/>
          <w:sz w:val="32"/>
          <w:szCs w:val="32"/>
        </w:rPr>
      </w:pPr>
    </w:p>
    <w:p>
      <w:pPr>
        <w:autoSpaceDE w:val="0"/>
        <w:autoSpaceDN w:val="0"/>
        <w:adjustRightInd w:val="0"/>
        <w:snapToGrid w:val="0"/>
        <w:spacing w:line="360" w:lineRule="auto"/>
        <w:jc w:val="center"/>
        <w:rPr>
          <w:rFonts w:ascii="Times New Roman" w:hAnsi="Times New Roman" w:eastAsia="仿宋_GB2312"/>
          <w:b/>
          <w:sz w:val="32"/>
          <w:szCs w:val="32"/>
        </w:rPr>
      </w:pPr>
    </w:p>
    <w:p>
      <w:pPr>
        <w:autoSpaceDE w:val="0"/>
        <w:autoSpaceDN w:val="0"/>
        <w:adjustRightInd w:val="0"/>
        <w:snapToGrid w:val="0"/>
        <w:spacing w:line="360" w:lineRule="auto"/>
        <w:jc w:val="center"/>
        <w:rPr>
          <w:rFonts w:ascii="Times New Roman" w:hAnsi="Times New Roman" w:eastAsia="仿宋_GB2312"/>
          <w:b/>
          <w:sz w:val="32"/>
          <w:szCs w:val="32"/>
        </w:rPr>
      </w:pPr>
    </w:p>
    <w:p>
      <w:pPr>
        <w:autoSpaceDE w:val="0"/>
        <w:autoSpaceDN w:val="0"/>
        <w:adjustRightInd w:val="0"/>
        <w:snapToGrid w:val="0"/>
        <w:spacing w:line="360" w:lineRule="auto"/>
        <w:jc w:val="center"/>
        <w:rPr>
          <w:rFonts w:ascii="Times New Roman" w:hAnsi="Times New Roman" w:eastAsia="仿宋_GB2312"/>
          <w:b/>
          <w:sz w:val="32"/>
          <w:szCs w:val="32"/>
        </w:rPr>
      </w:pPr>
    </w:p>
    <w:p>
      <w:pPr>
        <w:autoSpaceDE w:val="0"/>
        <w:autoSpaceDN w:val="0"/>
        <w:adjustRightInd w:val="0"/>
        <w:snapToGrid w:val="0"/>
        <w:spacing w:line="360" w:lineRule="auto"/>
        <w:jc w:val="center"/>
        <w:rPr>
          <w:rFonts w:ascii="Times New Roman" w:hAnsi="Times New Roman" w:eastAsia="仿宋_GB2312"/>
          <w:b/>
          <w:sz w:val="32"/>
          <w:szCs w:val="32"/>
        </w:rPr>
      </w:pPr>
    </w:p>
    <w:p>
      <w:pPr>
        <w:autoSpaceDE w:val="0"/>
        <w:autoSpaceDN w:val="0"/>
        <w:adjustRightInd w:val="0"/>
        <w:snapToGrid w:val="0"/>
        <w:spacing w:line="360" w:lineRule="auto"/>
        <w:jc w:val="center"/>
        <w:rPr>
          <w:rFonts w:ascii="Times New Roman" w:hAnsi="Times New Roman" w:eastAsia="仿宋_GB2312"/>
          <w:b/>
          <w:sz w:val="32"/>
          <w:szCs w:val="32"/>
        </w:rPr>
      </w:pPr>
    </w:p>
    <w:p>
      <w:pPr>
        <w:autoSpaceDE w:val="0"/>
        <w:autoSpaceDN w:val="0"/>
        <w:adjustRightInd w:val="0"/>
        <w:snapToGrid w:val="0"/>
        <w:spacing w:line="360" w:lineRule="auto"/>
        <w:jc w:val="center"/>
        <w:rPr>
          <w:rFonts w:ascii="Times New Roman" w:hAnsi="Times New Roman" w:eastAsia="仿宋_GB2312"/>
          <w:b/>
          <w:sz w:val="32"/>
          <w:szCs w:val="32"/>
        </w:rPr>
      </w:pPr>
    </w:p>
    <w:p>
      <w:pPr>
        <w:autoSpaceDE w:val="0"/>
        <w:autoSpaceDN w:val="0"/>
        <w:adjustRightInd w:val="0"/>
        <w:snapToGrid w:val="0"/>
        <w:spacing w:line="360" w:lineRule="auto"/>
        <w:jc w:val="center"/>
        <w:rPr>
          <w:rFonts w:ascii="Times New Roman" w:hAnsi="Times New Roman" w:eastAsia="仿宋_GB2312"/>
          <w:b/>
          <w:sz w:val="32"/>
          <w:szCs w:val="32"/>
        </w:rPr>
      </w:pPr>
    </w:p>
    <w:p>
      <w:pPr>
        <w:autoSpaceDE w:val="0"/>
        <w:autoSpaceDN w:val="0"/>
        <w:adjustRightInd w:val="0"/>
        <w:snapToGrid w:val="0"/>
        <w:spacing w:line="360" w:lineRule="auto"/>
        <w:jc w:val="center"/>
        <w:rPr>
          <w:rFonts w:ascii="Times New Roman" w:hAnsi="Times New Roman" w:eastAsia="仿宋_GB2312"/>
          <w:b/>
          <w:sz w:val="32"/>
          <w:szCs w:val="32"/>
        </w:rPr>
      </w:pPr>
    </w:p>
    <w:bookmarkEnd w:id="3"/>
    <w:bookmarkEnd w:id="4"/>
    <w:p>
      <w:pPr>
        <w:autoSpaceDE w:val="0"/>
        <w:autoSpaceDN w:val="0"/>
        <w:adjustRightInd w:val="0"/>
        <w:snapToGrid w:val="0"/>
        <w:spacing w:line="360" w:lineRule="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8337589"/>
      <w:docPartObj>
        <w:docPartGallery w:val="autotext"/>
      </w:docPartObj>
    </w:sdtPr>
    <w:sdtEndPr>
      <w:rPr>
        <w:rFonts w:ascii="Times New Roman" w:hAnsi="Times New Roman" w:cs="Times New Roman"/>
        <w:sz w:val="21"/>
        <w:szCs w:val="21"/>
      </w:rPr>
    </w:sdtEndPr>
    <w:sdtContent>
      <w:p>
        <w:pPr>
          <w:pStyle w:val="3"/>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1</w:t>
        </w:r>
        <w:r>
          <w:rPr>
            <w:rFonts w:ascii="Times New Roman" w:hAnsi="Times New Roman" w:cs="Times New Roman"/>
            <w:sz w:val="21"/>
            <w:szCs w:val="21"/>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51C"/>
    <w:rsid w:val="00052EFC"/>
    <w:rsid w:val="00060A0E"/>
    <w:rsid w:val="00062F6C"/>
    <w:rsid w:val="00077E83"/>
    <w:rsid w:val="000A56BC"/>
    <w:rsid w:val="000B51D3"/>
    <w:rsid w:val="000C6076"/>
    <w:rsid w:val="000D3196"/>
    <w:rsid w:val="0013436A"/>
    <w:rsid w:val="00135BF2"/>
    <w:rsid w:val="00147084"/>
    <w:rsid w:val="00152A96"/>
    <w:rsid w:val="00195F74"/>
    <w:rsid w:val="001C1465"/>
    <w:rsid w:val="001D3523"/>
    <w:rsid w:val="001E225D"/>
    <w:rsid w:val="001F6BE8"/>
    <w:rsid w:val="002018E4"/>
    <w:rsid w:val="00255764"/>
    <w:rsid w:val="00262A7B"/>
    <w:rsid w:val="0027288F"/>
    <w:rsid w:val="002B16C1"/>
    <w:rsid w:val="002E0C65"/>
    <w:rsid w:val="0032523C"/>
    <w:rsid w:val="00371A35"/>
    <w:rsid w:val="003D6D2A"/>
    <w:rsid w:val="003E60BE"/>
    <w:rsid w:val="00417820"/>
    <w:rsid w:val="004438E4"/>
    <w:rsid w:val="00492A2F"/>
    <w:rsid w:val="004A382B"/>
    <w:rsid w:val="004D16C8"/>
    <w:rsid w:val="0051272E"/>
    <w:rsid w:val="00541840"/>
    <w:rsid w:val="00543E95"/>
    <w:rsid w:val="00591EC8"/>
    <w:rsid w:val="005B4036"/>
    <w:rsid w:val="005B4D6C"/>
    <w:rsid w:val="005C4382"/>
    <w:rsid w:val="005D6960"/>
    <w:rsid w:val="005E551C"/>
    <w:rsid w:val="005E7617"/>
    <w:rsid w:val="006169A0"/>
    <w:rsid w:val="00642302"/>
    <w:rsid w:val="00643A6E"/>
    <w:rsid w:val="00644C39"/>
    <w:rsid w:val="00660CF3"/>
    <w:rsid w:val="00661CD9"/>
    <w:rsid w:val="006724F2"/>
    <w:rsid w:val="00691C34"/>
    <w:rsid w:val="006B48F3"/>
    <w:rsid w:val="006B567A"/>
    <w:rsid w:val="006C0CFE"/>
    <w:rsid w:val="006F108B"/>
    <w:rsid w:val="007308A8"/>
    <w:rsid w:val="00735C2F"/>
    <w:rsid w:val="00737251"/>
    <w:rsid w:val="00744E3D"/>
    <w:rsid w:val="0077332B"/>
    <w:rsid w:val="00775E46"/>
    <w:rsid w:val="007764A7"/>
    <w:rsid w:val="007A008D"/>
    <w:rsid w:val="007A443C"/>
    <w:rsid w:val="007A5B61"/>
    <w:rsid w:val="007B29C8"/>
    <w:rsid w:val="007E7CAF"/>
    <w:rsid w:val="008010D9"/>
    <w:rsid w:val="0080207E"/>
    <w:rsid w:val="0081093A"/>
    <w:rsid w:val="008524DE"/>
    <w:rsid w:val="008754AE"/>
    <w:rsid w:val="00877E0C"/>
    <w:rsid w:val="008D2052"/>
    <w:rsid w:val="008F5BE3"/>
    <w:rsid w:val="008F7C13"/>
    <w:rsid w:val="009052D2"/>
    <w:rsid w:val="0091384F"/>
    <w:rsid w:val="0092017C"/>
    <w:rsid w:val="009333D1"/>
    <w:rsid w:val="00943F9C"/>
    <w:rsid w:val="00952897"/>
    <w:rsid w:val="0096671C"/>
    <w:rsid w:val="009A54B9"/>
    <w:rsid w:val="009A6F74"/>
    <w:rsid w:val="009C4E76"/>
    <w:rsid w:val="009D3693"/>
    <w:rsid w:val="00AE01E5"/>
    <w:rsid w:val="00AE6531"/>
    <w:rsid w:val="00B00F99"/>
    <w:rsid w:val="00B12A4C"/>
    <w:rsid w:val="00B13050"/>
    <w:rsid w:val="00B15C95"/>
    <w:rsid w:val="00B510D0"/>
    <w:rsid w:val="00B719D7"/>
    <w:rsid w:val="00B857A5"/>
    <w:rsid w:val="00BA1543"/>
    <w:rsid w:val="00BB5FE1"/>
    <w:rsid w:val="00BB7C39"/>
    <w:rsid w:val="00BC4362"/>
    <w:rsid w:val="00BD21AC"/>
    <w:rsid w:val="00C0189A"/>
    <w:rsid w:val="00C220A9"/>
    <w:rsid w:val="00C447CD"/>
    <w:rsid w:val="00C65DD4"/>
    <w:rsid w:val="00C927B7"/>
    <w:rsid w:val="00CB2A53"/>
    <w:rsid w:val="00CC1090"/>
    <w:rsid w:val="00CF568E"/>
    <w:rsid w:val="00D058A0"/>
    <w:rsid w:val="00D108B9"/>
    <w:rsid w:val="00D5488D"/>
    <w:rsid w:val="00D93FF6"/>
    <w:rsid w:val="00D9614F"/>
    <w:rsid w:val="00DA5156"/>
    <w:rsid w:val="00DC6115"/>
    <w:rsid w:val="00DF0FFB"/>
    <w:rsid w:val="00E02BC2"/>
    <w:rsid w:val="00E03B58"/>
    <w:rsid w:val="00E174F3"/>
    <w:rsid w:val="00E26ADC"/>
    <w:rsid w:val="00E26B10"/>
    <w:rsid w:val="00E31066"/>
    <w:rsid w:val="00E55B13"/>
    <w:rsid w:val="00E94B03"/>
    <w:rsid w:val="00EB3AC0"/>
    <w:rsid w:val="00EC0A63"/>
    <w:rsid w:val="00EE2754"/>
    <w:rsid w:val="00F12947"/>
    <w:rsid w:val="00F218C5"/>
    <w:rsid w:val="00F3212B"/>
    <w:rsid w:val="00F707E3"/>
    <w:rsid w:val="00F9014D"/>
    <w:rsid w:val="00FC5A79"/>
    <w:rsid w:val="00FF2B78"/>
    <w:rsid w:val="0E841152"/>
    <w:rsid w:val="13800A47"/>
    <w:rsid w:val="1C124E27"/>
    <w:rsid w:val="30532E40"/>
    <w:rsid w:val="36002DDA"/>
    <w:rsid w:val="745B7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5"/>
    <w:link w:val="4"/>
    <w:qFormat/>
    <w:uiPriority w:val="99"/>
    <w:rPr>
      <w:sz w:val="18"/>
      <w:szCs w:val="18"/>
    </w:rPr>
  </w:style>
  <w:style w:type="character" w:customStyle="1" w:styleId="8">
    <w:name w:val="页脚 字符"/>
    <w:basedOn w:val="5"/>
    <w:link w:val="3"/>
    <w:qFormat/>
    <w:uiPriority w:val="99"/>
    <w:rPr>
      <w:sz w:val="18"/>
      <w:szCs w:val="18"/>
    </w:rPr>
  </w:style>
  <w:style w:type="character" w:customStyle="1" w:styleId="9">
    <w:name w:val="批注框文本 字符"/>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3FDD5C-57C3-4C63-92FE-E973FFD26F65}">
  <ds:schemaRefs/>
</ds:datastoreItem>
</file>

<file path=docProps/app.xml><?xml version="1.0" encoding="utf-8"?>
<Properties xmlns="http://schemas.openxmlformats.org/officeDocument/2006/extended-properties" xmlns:vt="http://schemas.openxmlformats.org/officeDocument/2006/docPropsVTypes">
  <Template>Normal.dotm</Template>
  <Company>njucm</Company>
  <Pages>3</Pages>
  <Words>197</Words>
  <Characters>1129</Characters>
  <Lines>9</Lines>
  <Paragraphs>2</Paragraphs>
  <TotalTime>3</TotalTime>
  <ScaleCrop>false</ScaleCrop>
  <LinksUpToDate>false</LinksUpToDate>
  <CharactersWithSpaces>1324</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2019-11-05T03:02:00Z</dcterms:created>
  <dc:creator>gsh</dc:creator>
  <cp:lastModifiedBy>Lenovo</cp:lastModifiedBy>
  <cp:lastPrinted>2020-10-10T03:28:00Z</cp:lastPrinted>
  <dcterms:modified xsi:type="dcterms:W3CDTF">2020-10-13T03:39:06Z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